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0C1194" w:rsidRDefault="000C1194" w:rsidP="00926128">
      <w:pPr>
        <w:spacing w:line="480" w:lineRule="auto"/>
        <w:jc w:val="center"/>
        <w:rPr>
          <w:rFonts w:ascii="Times New Roman" w:hAnsi="Times New Roman" w:cs="Times New Roman"/>
          <w:sz w:val="24"/>
          <w:szCs w:val="24"/>
        </w:rPr>
      </w:pPr>
    </w:p>
    <w:p w:rsidR="00926128" w:rsidRPr="00926128" w:rsidRDefault="00926128" w:rsidP="00926128">
      <w:pPr>
        <w:spacing w:line="480" w:lineRule="auto"/>
        <w:jc w:val="center"/>
        <w:rPr>
          <w:rFonts w:ascii="Times New Roman" w:hAnsi="Times New Roman" w:cs="Times New Roman"/>
          <w:sz w:val="24"/>
          <w:szCs w:val="24"/>
        </w:rPr>
      </w:pPr>
      <w:r w:rsidRPr="00926128">
        <w:rPr>
          <w:rFonts w:ascii="Times New Roman" w:hAnsi="Times New Roman" w:cs="Times New Roman"/>
          <w:sz w:val="24"/>
          <w:szCs w:val="24"/>
        </w:rPr>
        <w:t>Issues affecting Sex offenders and their mitigations</w:t>
      </w:r>
    </w:p>
    <w:p w:rsidR="00926128" w:rsidRPr="00926128" w:rsidRDefault="00926128" w:rsidP="00926128">
      <w:pPr>
        <w:spacing w:line="480" w:lineRule="auto"/>
        <w:jc w:val="center"/>
        <w:rPr>
          <w:rFonts w:ascii="Times New Roman" w:hAnsi="Times New Roman" w:cs="Times New Roman"/>
          <w:sz w:val="24"/>
          <w:szCs w:val="24"/>
        </w:rPr>
      </w:pPr>
      <w:r w:rsidRPr="00926128">
        <w:rPr>
          <w:rFonts w:ascii="Times New Roman" w:hAnsi="Times New Roman" w:cs="Times New Roman"/>
          <w:sz w:val="24"/>
          <w:szCs w:val="24"/>
        </w:rPr>
        <w:t>Name</w:t>
      </w:r>
    </w:p>
    <w:p w:rsidR="00926128" w:rsidRPr="00926128" w:rsidRDefault="00926128" w:rsidP="00926128">
      <w:pPr>
        <w:spacing w:line="480" w:lineRule="auto"/>
        <w:jc w:val="center"/>
        <w:rPr>
          <w:rFonts w:ascii="Times New Roman" w:hAnsi="Times New Roman" w:cs="Times New Roman"/>
          <w:sz w:val="24"/>
          <w:szCs w:val="24"/>
        </w:rPr>
      </w:pPr>
      <w:r w:rsidRPr="00926128">
        <w:rPr>
          <w:rFonts w:ascii="Times New Roman" w:hAnsi="Times New Roman" w:cs="Times New Roman"/>
          <w:sz w:val="24"/>
          <w:szCs w:val="24"/>
        </w:rPr>
        <w:t>Institution</w:t>
      </w: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0C1194" w:rsidP="0092612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26128" w:rsidRPr="00926128">
        <w:rPr>
          <w:rFonts w:ascii="Times New Roman" w:hAnsi="Times New Roman" w:cs="Times New Roman"/>
          <w:sz w:val="24"/>
          <w:szCs w:val="24"/>
        </w:rPr>
        <w:t>Issues affecting Sex offenders and their mitigations</w:t>
      </w:r>
    </w:p>
    <w:p w:rsidR="000C1194"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In criminal justice today, more than 500 offenders are convicted of sexual offenses. Among other offenses, sexual offenses and murder appear to have more serious consequences. As such, victims are always prone to longer sentences. For this reason, they form a significant population of the entire inmates. Notably, sexual offenders are suspects convicted with sexual molestation, adult rape, or indecent publication. According to the inmate culture, sexual offenders, are perceived to be the most vulnerable offenders. As such, they are subjected to violent attacks, sexual assault, isolation and even murder among other issues.</w:t>
      </w:r>
    </w:p>
    <w:p w:rsidR="00926128" w:rsidRPr="00926128" w:rsidRDefault="000C1194" w:rsidP="000C11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Such experiences subject sex offender inmates</w:t>
      </w:r>
      <w:r w:rsidR="00926128" w:rsidRPr="00926128">
        <w:rPr>
          <w:rFonts w:ascii="Times New Roman" w:hAnsi="Times New Roman" w:cs="Times New Roman"/>
          <w:sz w:val="24"/>
          <w:szCs w:val="24"/>
        </w:rPr>
        <w:t xml:space="preserve"> to trauma, seclusion, untimely death, and increased chances of recidivism. Hence, to prevent the occurrence of the above results, inmate subpopulation issues need to be identified, analyzed, and mitigations raised to arrest the disorder and enhance behavioral change. Therefore, as a warden in a medium-security prison, I seek to present isolation, violent attack and sexual assault, as the most problematic issues facing sex offenders in prison. Besides, policy changes such as the enforcement of reintegration programs, house uniting and supervisory surveillance will be issu</w:t>
      </w:r>
      <w:r w:rsidR="006F0133">
        <w:rPr>
          <w:rFonts w:ascii="Times New Roman" w:hAnsi="Times New Roman" w:cs="Times New Roman"/>
          <w:sz w:val="24"/>
          <w:szCs w:val="24"/>
        </w:rPr>
        <w:t>ed as remedies to protect sex</w:t>
      </w:r>
      <w:bookmarkStart w:id="0" w:name="_GoBack"/>
      <w:bookmarkEnd w:id="0"/>
      <w:r w:rsidR="00926128" w:rsidRPr="00926128">
        <w:rPr>
          <w:rFonts w:ascii="Times New Roman" w:hAnsi="Times New Roman" w:cs="Times New Roman"/>
          <w:sz w:val="24"/>
          <w:szCs w:val="24"/>
        </w:rPr>
        <w:t xml:space="preserve"> offenders, preserve public safety as well as maintain the integrity of the correctional department. </w:t>
      </w:r>
    </w:p>
    <w:p w:rsidR="000C1194"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To begin with, sexual offenders are perceived to be weak and coward in prisons. They are even nicknamed based on the type of sexual offense they commit. For example, pedophiles and Chomos are nicknames given to child abuse sexual offenders. Besides, reports indicate that gangsters in prison bully sexual offenders to prove their superiority. In this case, inmates looking for prison fame, molest sexual offenders to prove their powers and violent nature. In an assessment to determine the cause of this victimization, reports indicate that in America victimization to the sexual offenders is a taboo in prison life (Ferranti, 2015). However, the </w:t>
      </w:r>
      <w:r w:rsidRPr="00926128">
        <w:rPr>
          <w:rFonts w:ascii="Times New Roman" w:hAnsi="Times New Roman" w:cs="Times New Roman"/>
          <w:sz w:val="24"/>
          <w:szCs w:val="24"/>
        </w:rPr>
        <w:lastRenderedPageBreak/>
        <w:t xml:space="preserve">consequences of such actions have been proved to be quite detrimental. Not only do they cause trauma, but also subject the victims to long term isolation which is proved to facilitate recidivism. Ideally, sexual offense inmates report difficulties to form relationships with other inmates. As a result, they are subjected to social isolation which predisposes them to loneliness and solitude. Theoretically, aggressiveness in sexual offenses has been linked to loneliness (Ferranti, 2015). It means that the more sexual offenders experience prison loneliness the more they are likely to engage in recidivism. </w:t>
      </w:r>
    </w:p>
    <w:p w:rsidR="00926128" w:rsidRPr="00926128"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 Besides, clinical research reveals that after jail term, sexual offenders tend to retain seclusion and difficulty blending with society (Van et al., 2017). As a result, they end up becoming hopeless and prone to other sorts of offenses. Often, the primary goal of imprisonment is to change personal behavior and promote public safety. Therefore, assuming or not neglecting inmate issues such as isolation jeopardizes the expected changes which in turn risks public safety. Hence, as a representative of the department of correction, I propose that policies to curb isolation for sex offenders should be implemented to enhance deterrence as well as preserve public safety. </w:t>
      </w:r>
    </w:p>
    <w:p w:rsidR="00926128" w:rsidRPr="00926128"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Besides being isolated, sexual offenders report experiences of violent attacks. This involves physical bullying which has been reported to increase inmate death while serving their jail terms. Individual interviews show that the gangs even team up with guards to kill the sex offenders.  Taking advantage of exoneration, killings of sexual offenders has become a common theme. While prison suicide has been the prejudice behind inmate deaths, there exist transparent findings that sex offender's death are planned murder with implicit execution (Centre, 2007). For example, in California prison, a third of inmate deaths occur on sex offenders. It means that there is an existing culture of perceiving sex offenders as subhuman. Such actions are not only </w:t>
      </w:r>
      <w:r w:rsidRPr="00926128">
        <w:rPr>
          <w:rFonts w:ascii="Times New Roman" w:hAnsi="Times New Roman" w:cs="Times New Roman"/>
          <w:sz w:val="24"/>
          <w:szCs w:val="24"/>
        </w:rPr>
        <w:lastRenderedPageBreak/>
        <w:t xml:space="preserve">unethical to life but also contradicts the correctional reality and the entire forum of law and order. Hence, to retain the formality of law and respect to human life, I encourage that action plans to stop sex offender attacks should be implemented to retain the understanding of law and responsibility to protect life. </w:t>
      </w:r>
    </w:p>
    <w:p w:rsidR="00926128" w:rsidRPr="00926128"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Being an offender of sexual offense does not qualify one to be stereotyped as a sexual object. While sexual offenses incur heavy sentences, some of the cases are at times null or individual plans to harm others. Hence, assaulting sex offenders with the exoneration that they hold sexual stigma is non-ethical and violation of correctional provisions. This emanates from sexual offenders claim that they face sexual assault in cells out of preconception that they identify themselves with sex. More specifically, there exist reports that besides being molested by fellow inmates, prison guards also team up with gangs in assaulting both female sexual offenders (Center, 2007). According to a survey, there are three cases where prison guards are reported to have assaulted female sexual offenders. It implies that the same representatives of law also break it without any consideration. Not only are such actions immoral, but also unlawful and contrary to principles of correctional justice. Therefore, to clear such impunities, supervisory reforms should be done as well as heavy fines be imposed on prison guards found assaulting inmates. </w:t>
      </w:r>
    </w:p>
    <w:p w:rsidR="000C1194"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The way to restore justice in prison is by implementing policies subject to the reported case scenarios. Firstly, to address social isolation among the sexual offenders, the correction department should use reintegration programs such as circle of support and accountability (COSA), good life model (GLM) framework, and housing unit strategy (Van et al., 2017). In this case, COSA aims at blending sexual offenders with society after incarceration. To practice this, the DOC should hire professional supervisors who help offenders build positive relationships </w:t>
      </w:r>
      <w:r w:rsidRPr="00926128">
        <w:rPr>
          <w:rFonts w:ascii="Times New Roman" w:hAnsi="Times New Roman" w:cs="Times New Roman"/>
          <w:sz w:val="24"/>
          <w:szCs w:val="24"/>
        </w:rPr>
        <w:lastRenderedPageBreak/>
        <w:t>with society. Their main role will be checking the challenges of reentry and providing needs and response to community issues. This will help eradicate isolation as well as reduce the chances of recidivism.</w:t>
      </w:r>
    </w:p>
    <w:p w:rsidR="00926128" w:rsidRPr="00926128"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 </w:t>
      </w:r>
      <w:r w:rsidR="000C1194">
        <w:rPr>
          <w:rFonts w:ascii="Times New Roman" w:hAnsi="Times New Roman" w:cs="Times New Roman"/>
          <w:sz w:val="24"/>
          <w:szCs w:val="24"/>
        </w:rPr>
        <w:t xml:space="preserve">Use of </w:t>
      </w:r>
      <w:r w:rsidRPr="00926128">
        <w:rPr>
          <w:rFonts w:ascii="Times New Roman" w:hAnsi="Times New Roman" w:cs="Times New Roman"/>
          <w:sz w:val="24"/>
          <w:szCs w:val="24"/>
        </w:rPr>
        <w:t>Good life model strategies</w:t>
      </w:r>
      <w:r w:rsidR="000C1194">
        <w:rPr>
          <w:rFonts w:ascii="Times New Roman" w:hAnsi="Times New Roman" w:cs="Times New Roman"/>
          <w:sz w:val="24"/>
          <w:szCs w:val="24"/>
        </w:rPr>
        <w:t xml:space="preserve"> is also a potential mitigation for transformation. </w:t>
      </w:r>
      <w:r w:rsidRPr="00926128">
        <w:rPr>
          <w:rFonts w:ascii="Times New Roman" w:hAnsi="Times New Roman" w:cs="Times New Roman"/>
          <w:sz w:val="24"/>
          <w:szCs w:val="24"/>
        </w:rPr>
        <w:t>It involves engaging the offender with meaningful life plans that help evade the risk of reoffending. In essence, is a strength-based rehabilitation program that focuses on creating value and opportunities for the offender to avoid temptations of reoffending (Van et al., 2017)</w:t>
      </w:r>
      <w:proofErr w:type="gramStart"/>
      <w:r w:rsidRPr="00926128">
        <w:rPr>
          <w:rFonts w:ascii="Times New Roman" w:hAnsi="Times New Roman" w:cs="Times New Roman"/>
          <w:sz w:val="24"/>
          <w:szCs w:val="24"/>
        </w:rPr>
        <w:t>.</w:t>
      </w:r>
      <w:proofErr w:type="gramEnd"/>
      <w:r w:rsidRPr="00926128">
        <w:rPr>
          <w:rFonts w:ascii="Times New Roman" w:hAnsi="Times New Roman" w:cs="Times New Roman"/>
          <w:sz w:val="24"/>
          <w:szCs w:val="24"/>
        </w:rPr>
        <w:t xml:space="preserve">  While implementing this, the DOC should advocate arrangements on building training centers that offer skills and knowledge to the victims thus creating value in their life. In addition, it helps remove social isolation in that regaining value in society boosts confidence and the need for interaction. On the other hand, housing unit strategies engage the separation of inmates to avoid victimization. To practice this, the DOC should separate inmate houses as well as accompany those of sex offenders with honest guards. This will help prevent bullying and victimization from the inmates with violence culture.</w:t>
      </w:r>
    </w:p>
    <w:p w:rsidR="00926128" w:rsidRPr="00926128"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As seen earlier, violent attack is also reported as a prominent issue leading to increased demise of sex offenders. To prevent such actions, it is recommended that the DOC should lead the installation of surveillance cameras as well as reform supervision roles (Centre, 2007) besides, heavy fines such as increased sentence and added disciplinary actions should also be formulated and communicated to all inmates. In this case, CCTV cameras will help monitor blind spots as well as retrieve evidence of torture. Hence, the DOC should make arrangements for CCTV installation and monitory. To enforce supervision, track devices should be installed in supervision areas such that officers in guard are able to ensure supervision consistency (Centre, 2007). Also, fines and penalties of liaising with inmates to victimize sex offenders should be </w:t>
      </w:r>
      <w:r w:rsidRPr="00926128">
        <w:rPr>
          <w:rFonts w:ascii="Times New Roman" w:hAnsi="Times New Roman" w:cs="Times New Roman"/>
          <w:sz w:val="24"/>
          <w:szCs w:val="24"/>
        </w:rPr>
        <w:lastRenderedPageBreak/>
        <w:t xml:space="preserve">tightened for the prison guards. As such, the DOC should lead in work contract reforms to include the above provisions which will help foster integrity and keen supervision. With this in place, chances of bullying will reduce or end permanently. </w:t>
      </w:r>
    </w:p>
    <w:p w:rsidR="000C1194"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In response to sexual assault, unit housing should be done to separate the victim and the perpetrator.  In this case, the DOC should plan on separating sex offenders from other inmates. Additionally, CCTV installation will also enhance secure crime scenes in that evidence collection will be enhanced and acted upon. Notably, lengthened jail term and additional disciplinary actions should be imposed for inmates found guilty of assaulting others. It is also recommended that heavy fines including work termination penalties should be imposed for prison guards proved guilty of assaulting sex offenders. Thus, the DOC should advocate the addition of these changes in security contracts to make them real and effective.   By doing so, the integrity of correctional principles will prevail while channeling good behavior as well. </w:t>
      </w:r>
    </w:p>
    <w:p w:rsidR="00926128" w:rsidRPr="00926128" w:rsidRDefault="00926128" w:rsidP="000C1194">
      <w:pPr>
        <w:spacing w:line="480" w:lineRule="auto"/>
        <w:ind w:firstLine="720"/>
        <w:rPr>
          <w:rFonts w:ascii="Times New Roman" w:hAnsi="Times New Roman" w:cs="Times New Roman"/>
          <w:sz w:val="24"/>
          <w:szCs w:val="24"/>
        </w:rPr>
      </w:pPr>
      <w:r w:rsidRPr="00926128">
        <w:rPr>
          <w:rFonts w:ascii="Times New Roman" w:hAnsi="Times New Roman" w:cs="Times New Roman"/>
          <w:sz w:val="24"/>
          <w:szCs w:val="24"/>
        </w:rPr>
        <w:t xml:space="preserve">Educating inmates about caring for one another and exchanging prison guards are suggestions that would not be ideal in that change is best embraced when there exist consequences to bear if one behaves contrary to what is required. Therefore, to control social isolation, sexual assault, and violent attack implicated on sexual offenders, the governor and the commissioner in the department of correction should apply the above policy changes and therapeutic plans that seek to preserve the mandate of the correctional justice as well as enhance public safety, and behavioral reform. </w:t>
      </w: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926128">
      <w:pPr>
        <w:spacing w:line="480" w:lineRule="auto"/>
        <w:rPr>
          <w:rFonts w:ascii="Times New Roman" w:hAnsi="Times New Roman" w:cs="Times New Roman"/>
          <w:sz w:val="24"/>
          <w:szCs w:val="24"/>
        </w:rPr>
      </w:pPr>
    </w:p>
    <w:p w:rsidR="00926128" w:rsidRPr="00926128" w:rsidRDefault="00926128" w:rsidP="000C1194">
      <w:pPr>
        <w:spacing w:line="480" w:lineRule="auto"/>
        <w:ind w:left="3600" w:firstLine="720"/>
        <w:rPr>
          <w:rFonts w:ascii="Times New Roman" w:hAnsi="Times New Roman" w:cs="Times New Roman"/>
          <w:sz w:val="24"/>
          <w:szCs w:val="24"/>
        </w:rPr>
      </w:pPr>
      <w:r w:rsidRPr="00926128">
        <w:rPr>
          <w:rFonts w:ascii="Times New Roman" w:hAnsi="Times New Roman" w:cs="Times New Roman"/>
          <w:sz w:val="24"/>
          <w:szCs w:val="24"/>
        </w:rPr>
        <w:lastRenderedPageBreak/>
        <w:t>References</w:t>
      </w:r>
    </w:p>
    <w:p w:rsidR="00926128" w:rsidRPr="000C1194" w:rsidRDefault="00926128" w:rsidP="000C1194">
      <w:pPr>
        <w:spacing w:line="480" w:lineRule="auto"/>
        <w:ind w:left="720" w:hanging="720"/>
        <w:rPr>
          <w:rFonts w:ascii="Times New Roman" w:hAnsi="Times New Roman" w:cs="Times New Roman"/>
          <w:i/>
          <w:sz w:val="24"/>
          <w:szCs w:val="24"/>
        </w:rPr>
      </w:pPr>
      <w:r w:rsidRPr="00926128">
        <w:rPr>
          <w:rFonts w:ascii="Times New Roman" w:hAnsi="Times New Roman" w:cs="Times New Roman"/>
          <w:sz w:val="24"/>
          <w:szCs w:val="24"/>
        </w:rPr>
        <w:t xml:space="preserve">Center, J. P. (2007) Addressing Sexual Violence in Prisons: </w:t>
      </w:r>
      <w:r w:rsidRPr="000C1194">
        <w:rPr>
          <w:rFonts w:ascii="Times New Roman" w:hAnsi="Times New Roman" w:cs="Times New Roman"/>
          <w:i/>
          <w:sz w:val="24"/>
          <w:szCs w:val="24"/>
        </w:rPr>
        <w:t>A National Snapshot of Approaches and Highlights of Innovative Strategies.</w:t>
      </w:r>
    </w:p>
    <w:p w:rsidR="00926128" w:rsidRPr="00926128" w:rsidRDefault="00926128" w:rsidP="000C1194">
      <w:pPr>
        <w:spacing w:line="480" w:lineRule="auto"/>
        <w:ind w:left="720" w:hanging="720"/>
        <w:rPr>
          <w:rFonts w:ascii="Times New Roman" w:hAnsi="Times New Roman" w:cs="Times New Roman"/>
          <w:sz w:val="24"/>
          <w:szCs w:val="24"/>
        </w:rPr>
      </w:pPr>
      <w:proofErr w:type="spellStart"/>
      <w:r w:rsidRPr="00926128">
        <w:rPr>
          <w:rFonts w:ascii="Times New Roman" w:hAnsi="Times New Roman" w:cs="Times New Roman"/>
          <w:sz w:val="24"/>
          <w:szCs w:val="24"/>
        </w:rPr>
        <w:t>Ferantti</w:t>
      </w:r>
      <w:proofErr w:type="spellEnd"/>
      <w:r w:rsidRPr="00926128">
        <w:rPr>
          <w:rFonts w:ascii="Times New Roman" w:hAnsi="Times New Roman" w:cs="Times New Roman"/>
          <w:sz w:val="24"/>
          <w:szCs w:val="24"/>
        </w:rPr>
        <w:t>, S. (2015). Why Are So Many Sex Offenders Getting Murdered in California's Prisons</w:t>
      </w:r>
      <w:r w:rsidR="000C1194" w:rsidRPr="00926128">
        <w:rPr>
          <w:rFonts w:ascii="Times New Roman" w:hAnsi="Times New Roman" w:cs="Times New Roman"/>
          <w:sz w:val="24"/>
          <w:szCs w:val="24"/>
        </w:rPr>
        <w:t>?</w:t>
      </w:r>
      <w:r w:rsidRPr="00926128">
        <w:rPr>
          <w:rFonts w:ascii="Times New Roman" w:hAnsi="Times New Roman" w:cs="Times New Roman"/>
          <w:sz w:val="24"/>
          <w:szCs w:val="24"/>
        </w:rPr>
        <w:t xml:space="preserve"> Retrieved 22 October 2019, from https://www.vice.com/da/article/ppmjy8/why-sex-offenders-are-getting-slaughtered-in-california-prisons-218</w:t>
      </w:r>
    </w:p>
    <w:p w:rsidR="00F16F99" w:rsidRPr="000C1194" w:rsidRDefault="000C1194" w:rsidP="000C1194">
      <w:pPr>
        <w:spacing w:line="480" w:lineRule="auto"/>
        <w:ind w:left="720" w:hanging="720"/>
        <w:rPr>
          <w:rFonts w:ascii="Times New Roman" w:hAnsi="Times New Roman" w:cs="Times New Roman"/>
          <w:i/>
          <w:sz w:val="24"/>
          <w:szCs w:val="24"/>
        </w:rPr>
      </w:pPr>
      <w:r w:rsidRPr="00926128">
        <w:rPr>
          <w:rFonts w:ascii="Times New Roman" w:hAnsi="Times New Roman" w:cs="Times New Roman"/>
          <w:sz w:val="24"/>
          <w:szCs w:val="24"/>
        </w:rPr>
        <w:t>Van</w:t>
      </w:r>
      <w:r w:rsidR="00926128" w:rsidRPr="00926128">
        <w:rPr>
          <w:rFonts w:ascii="Times New Roman" w:hAnsi="Times New Roman" w:cs="Times New Roman"/>
          <w:sz w:val="24"/>
          <w:szCs w:val="24"/>
        </w:rPr>
        <w:t xml:space="preserve"> den Berg, C., </w:t>
      </w:r>
      <w:proofErr w:type="spellStart"/>
      <w:r w:rsidR="00926128" w:rsidRPr="00926128">
        <w:rPr>
          <w:rFonts w:ascii="Times New Roman" w:hAnsi="Times New Roman" w:cs="Times New Roman"/>
          <w:sz w:val="24"/>
          <w:szCs w:val="24"/>
        </w:rPr>
        <w:t>Beijersbergen</w:t>
      </w:r>
      <w:proofErr w:type="spellEnd"/>
      <w:r w:rsidR="00926128" w:rsidRPr="00926128">
        <w:rPr>
          <w:rFonts w:ascii="Times New Roman" w:hAnsi="Times New Roman" w:cs="Times New Roman"/>
          <w:sz w:val="24"/>
          <w:szCs w:val="24"/>
        </w:rPr>
        <w:t xml:space="preserve">, K., </w:t>
      </w:r>
      <w:proofErr w:type="spellStart"/>
      <w:r w:rsidR="00926128" w:rsidRPr="00926128">
        <w:rPr>
          <w:rFonts w:ascii="Times New Roman" w:hAnsi="Times New Roman" w:cs="Times New Roman"/>
          <w:sz w:val="24"/>
          <w:szCs w:val="24"/>
        </w:rPr>
        <w:t>Nieuwbeerta</w:t>
      </w:r>
      <w:proofErr w:type="spellEnd"/>
      <w:r w:rsidR="00926128" w:rsidRPr="00926128">
        <w:rPr>
          <w:rFonts w:ascii="Times New Roman" w:hAnsi="Times New Roman" w:cs="Times New Roman"/>
          <w:sz w:val="24"/>
          <w:szCs w:val="24"/>
        </w:rPr>
        <w:t xml:space="preserve">, P., &amp; </w:t>
      </w:r>
      <w:proofErr w:type="spellStart"/>
      <w:r w:rsidR="00926128" w:rsidRPr="00926128">
        <w:rPr>
          <w:rFonts w:ascii="Times New Roman" w:hAnsi="Times New Roman" w:cs="Times New Roman"/>
          <w:sz w:val="24"/>
          <w:szCs w:val="24"/>
        </w:rPr>
        <w:t>Dirkzwager</w:t>
      </w:r>
      <w:proofErr w:type="spellEnd"/>
      <w:r w:rsidR="00926128" w:rsidRPr="00926128">
        <w:rPr>
          <w:rFonts w:ascii="Times New Roman" w:hAnsi="Times New Roman" w:cs="Times New Roman"/>
          <w:sz w:val="24"/>
          <w:szCs w:val="24"/>
        </w:rPr>
        <w:t>, A. (2017). Sex Offenders in Prison: Are They Socially Isolated</w:t>
      </w:r>
      <w:r w:rsidRPr="00926128">
        <w:rPr>
          <w:rFonts w:ascii="Times New Roman" w:hAnsi="Times New Roman" w:cs="Times New Roman"/>
          <w:sz w:val="24"/>
          <w:szCs w:val="24"/>
        </w:rPr>
        <w:t>?</w:t>
      </w:r>
      <w:r w:rsidR="00926128" w:rsidRPr="00926128">
        <w:rPr>
          <w:rFonts w:ascii="Times New Roman" w:hAnsi="Times New Roman" w:cs="Times New Roman"/>
          <w:sz w:val="24"/>
          <w:szCs w:val="24"/>
        </w:rPr>
        <w:t xml:space="preserve"> Sexual Abuse: </w:t>
      </w:r>
      <w:r w:rsidR="00926128" w:rsidRPr="000C1194">
        <w:rPr>
          <w:rFonts w:ascii="Times New Roman" w:hAnsi="Times New Roman" w:cs="Times New Roman"/>
          <w:i/>
          <w:sz w:val="24"/>
          <w:szCs w:val="24"/>
        </w:rPr>
        <w:t xml:space="preserve">A Journal </w:t>
      </w:r>
      <w:r w:rsidRPr="000C1194">
        <w:rPr>
          <w:rFonts w:ascii="Times New Roman" w:hAnsi="Times New Roman" w:cs="Times New Roman"/>
          <w:i/>
          <w:sz w:val="24"/>
          <w:szCs w:val="24"/>
        </w:rPr>
        <w:t>of</w:t>
      </w:r>
      <w:r w:rsidR="00926128" w:rsidRPr="000C1194">
        <w:rPr>
          <w:rFonts w:ascii="Times New Roman" w:hAnsi="Times New Roman" w:cs="Times New Roman"/>
          <w:i/>
          <w:sz w:val="24"/>
          <w:szCs w:val="24"/>
        </w:rPr>
        <w:t xml:space="preserve"> Research </w:t>
      </w:r>
      <w:r w:rsidRPr="000C1194">
        <w:rPr>
          <w:rFonts w:ascii="Times New Roman" w:hAnsi="Times New Roman" w:cs="Times New Roman"/>
          <w:i/>
          <w:sz w:val="24"/>
          <w:szCs w:val="24"/>
        </w:rPr>
        <w:t>and</w:t>
      </w:r>
      <w:r w:rsidR="00926128" w:rsidRPr="000C1194">
        <w:rPr>
          <w:rFonts w:ascii="Times New Roman" w:hAnsi="Times New Roman" w:cs="Times New Roman"/>
          <w:i/>
          <w:sz w:val="24"/>
          <w:szCs w:val="24"/>
        </w:rPr>
        <w:t xml:space="preserve"> Treatment, 107906321770088. </w:t>
      </w:r>
      <w:proofErr w:type="spellStart"/>
      <w:proofErr w:type="gramStart"/>
      <w:r w:rsidR="00926128" w:rsidRPr="000C1194">
        <w:rPr>
          <w:rFonts w:ascii="Times New Roman" w:hAnsi="Times New Roman" w:cs="Times New Roman"/>
          <w:i/>
          <w:sz w:val="24"/>
          <w:szCs w:val="24"/>
        </w:rPr>
        <w:t>doi</w:t>
      </w:r>
      <w:proofErr w:type="spellEnd"/>
      <w:proofErr w:type="gramEnd"/>
      <w:r w:rsidR="00926128" w:rsidRPr="000C1194">
        <w:rPr>
          <w:rFonts w:ascii="Times New Roman" w:hAnsi="Times New Roman" w:cs="Times New Roman"/>
          <w:i/>
          <w:sz w:val="24"/>
          <w:szCs w:val="24"/>
        </w:rPr>
        <w:t>: 10.1177/1079063217700884</w:t>
      </w:r>
    </w:p>
    <w:sectPr w:rsidR="00F16F99" w:rsidRPr="000C1194" w:rsidSect="00FC26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467" w:rsidRDefault="00F53467" w:rsidP="00FC2694">
      <w:pPr>
        <w:spacing w:after="0" w:line="240" w:lineRule="auto"/>
      </w:pPr>
      <w:r>
        <w:separator/>
      </w:r>
    </w:p>
  </w:endnote>
  <w:endnote w:type="continuationSeparator" w:id="0">
    <w:p w:rsidR="00F53467" w:rsidRDefault="00F53467" w:rsidP="00FC2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467" w:rsidRDefault="00F53467" w:rsidP="00FC2694">
      <w:pPr>
        <w:spacing w:after="0" w:line="240" w:lineRule="auto"/>
      </w:pPr>
      <w:r>
        <w:separator/>
      </w:r>
    </w:p>
  </w:footnote>
  <w:footnote w:type="continuationSeparator" w:id="0">
    <w:p w:rsidR="00F53467" w:rsidRDefault="00F53467" w:rsidP="00FC2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4262297"/>
      <w:docPartObj>
        <w:docPartGallery w:val="Page Numbers (Top of Page)"/>
        <w:docPartUnique/>
      </w:docPartObj>
    </w:sdtPr>
    <w:sdtEndPr>
      <w:rPr>
        <w:noProof/>
      </w:rPr>
    </w:sdtEndPr>
    <w:sdtContent>
      <w:p w:rsidR="00756E36" w:rsidRPr="000C1194" w:rsidRDefault="000C1194">
        <w:pPr>
          <w:pStyle w:val="Header"/>
          <w:rPr>
            <w:rFonts w:ascii="Times New Roman" w:hAnsi="Times New Roman" w:cs="Times New Roman"/>
            <w:sz w:val="24"/>
            <w:szCs w:val="24"/>
          </w:rPr>
        </w:pPr>
        <w:r w:rsidRPr="000C1194">
          <w:rPr>
            <w:rFonts w:ascii="Times New Roman" w:hAnsi="Times New Roman" w:cs="Times New Roman"/>
            <w:sz w:val="24"/>
            <w:szCs w:val="24"/>
          </w:rPr>
          <w:t>INMATE SUBPOPULATION ISSUES</w:t>
        </w:r>
        <w:r>
          <w:rPr>
            <w:rFonts w:ascii="Times New Roman" w:hAnsi="Times New Roman" w:cs="Times New Roman"/>
            <w:sz w:val="24"/>
            <w:szCs w:val="24"/>
          </w:rPr>
          <w:tab/>
        </w:r>
        <w:r>
          <w:rPr>
            <w:rFonts w:ascii="Times New Roman" w:hAnsi="Times New Roman" w:cs="Times New Roman"/>
            <w:sz w:val="24"/>
            <w:szCs w:val="24"/>
          </w:rPr>
          <w:tab/>
        </w:r>
        <w:r w:rsidR="00756E36" w:rsidRPr="000C1194">
          <w:rPr>
            <w:rFonts w:ascii="Times New Roman" w:hAnsi="Times New Roman" w:cs="Times New Roman"/>
            <w:sz w:val="24"/>
            <w:szCs w:val="24"/>
          </w:rPr>
          <w:fldChar w:fldCharType="begin"/>
        </w:r>
        <w:r w:rsidR="00756E36" w:rsidRPr="000C1194">
          <w:rPr>
            <w:rFonts w:ascii="Times New Roman" w:hAnsi="Times New Roman" w:cs="Times New Roman"/>
            <w:sz w:val="24"/>
            <w:szCs w:val="24"/>
          </w:rPr>
          <w:instrText xml:space="preserve"> PAGE   \* MERGEFORMAT </w:instrText>
        </w:r>
        <w:r w:rsidR="00756E36" w:rsidRPr="000C1194">
          <w:rPr>
            <w:rFonts w:ascii="Times New Roman" w:hAnsi="Times New Roman" w:cs="Times New Roman"/>
            <w:sz w:val="24"/>
            <w:szCs w:val="24"/>
          </w:rPr>
          <w:fldChar w:fldCharType="separate"/>
        </w:r>
        <w:r w:rsidR="006F0133">
          <w:rPr>
            <w:rFonts w:ascii="Times New Roman" w:hAnsi="Times New Roman" w:cs="Times New Roman"/>
            <w:noProof/>
            <w:sz w:val="24"/>
            <w:szCs w:val="24"/>
          </w:rPr>
          <w:t>7</w:t>
        </w:r>
        <w:r w:rsidR="00756E36" w:rsidRPr="000C1194">
          <w:rPr>
            <w:rFonts w:ascii="Times New Roman" w:hAnsi="Times New Roman" w:cs="Times New Roman"/>
            <w:noProof/>
            <w:sz w:val="24"/>
            <w:szCs w:val="24"/>
          </w:rPr>
          <w:fldChar w:fldCharType="end"/>
        </w:r>
      </w:p>
    </w:sdtContent>
  </w:sdt>
  <w:p w:rsidR="00756E36" w:rsidRDefault="00756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E36" w:rsidRPr="00FC2694" w:rsidRDefault="00756E36">
    <w:pPr>
      <w:pStyle w:val="Header"/>
      <w:rPr>
        <w:rFonts w:ascii="Times New Roman" w:hAnsi="Times New Roman" w:cs="Times New Roman"/>
        <w:sz w:val="24"/>
        <w:szCs w:val="24"/>
      </w:rPr>
    </w:pPr>
    <w:r w:rsidRPr="00FC2694">
      <w:rPr>
        <w:rFonts w:ascii="Times New Roman" w:hAnsi="Times New Roman" w:cs="Times New Roman"/>
        <w:sz w:val="24"/>
        <w:szCs w:val="24"/>
      </w:rPr>
      <w:t xml:space="preserve">Running </w:t>
    </w:r>
    <w:r w:rsidR="000C1194" w:rsidRPr="00FC2694">
      <w:rPr>
        <w:rFonts w:ascii="Times New Roman" w:hAnsi="Times New Roman" w:cs="Times New Roman"/>
        <w:sz w:val="24"/>
        <w:szCs w:val="24"/>
      </w:rPr>
      <w:t>head:</w:t>
    </w:r>
    <w:r w:rsidR="000C1194">
      <w:rPr>
        <w:rFonts w:ascii="Times New Roman" w:hAnsi="Times New Roman" w:cs="Times New Roman"/>
        <w:sz w:val="24"/>
        <w:szCs w:val="24"/>
      </w:rPr>
      <w:t xml:space="preserve"> INMATE SUBPOPULATION ISSUES</w:t>
    </w:r>
    <w:sdt>
      <w:sdtPr>
        <w:rPr>
          <w:rFonts w:ascii="Times New Roman" w:hAnsi="Times New Roman" w:cs="Times New Roman"/>
          <w:sz w:val="24"/>
          <w:szCs w:val="24"/>
        </w:rPr>
        <w:id w:val="-55328123"/>
        <w:docPartObj>
          <w:docPartGallery w:val="Page Numbers (Top of Page)"/>
          <w:docPartUnique/>
        </w:docPartObj>
      </w:sdtPr>
      <w:sdtEndPr>
        <w:rPr>
          <w:noProof/>
        </w:rPr>
      </w:sdtEndPr>
      <w:sdtContent>
        <w:r w:rsidR="000C1194">
          <w:rPr>
            <w:rFonts w:ascii="Times New Roman" w:hAnsi="Times New Roman" w:cs="Times New Roman"/>
            <w:sz w:val="24"/>
            <w:szCs w:val="24"/>
          </w:rPr>
          <w:tab/>
        </w:r>
        <w:r w:rsidRPr="00FC2694">
          <w:rPr>
            <w:rFonts w:ascii="Times New Roman" w:hAnsi="Times New Roman" w:cs="Times New Roman"/>
            <w:sz w:val="24"/>
            <w:szCs w:val="24"/>
          </w:rPr>
          <w:fldChar w:fldCharType="begin"/>
        </w:r>
        <w:r w:rsidRPr="00FC2694">
          <w:rPr>
            <w:rFonts w:ascii="Times New Roman" w:hAnsi="Times New Roman" w:cs="Times New Roman"/>
            <w:sz w:val="24"/>
            <w:szCs w:val="24"/>
          </w:rPr>
          <w:instrText xml:space="preserve"> PAGE   \* MERGEFORMAT </w:instrText>
        </w:r>
        <w:r w:rsidRPr="00FC2694">
          <w:rPr>
            <w:rFonts w:ascii="Times New Roman" w:hAnsi="Times New Roman" w:cs="Times New Roman"/>
            <w:sz w:val="24"/>
            <w:szCs w:val="24"/>
          </w:rPr>
          <w:fldChar w:fldCharType="separate"/>
        </w:r>
        <w:r w:rsidR="006F0133">
          <w:rPr>
            <w:rFonts w:ascii="Times New Roman" w:hAnsi="Times New Roman" w:cs="Times New Roman"/>
            <w:noProof/>
            <w:sz w:val="24"/>
            <w:szCs w:val="24"/>
          </w:rPr>
          <w:t>1</w:t>
        </w:r>
        <w:r w:rsidRPr="00FC2694">
          <w:rPr>
            <w:rFonts w:ascii="Times New Roman" w:hAnsi="Times New Roman" w:cs="Times New Roman"/>
            <w:noProof/>
            <w:sz w:val="24"/>
            <w:szCs w:val="24"/>
          </w:rPr>
          <w:fldChar w:fldCharType="end"/>
        </w:r>
      </w:sdtContent>
    </w:sdt>
  </w:p>
  <w:p w:rsidR="00756E36" w:rsidRDefault="00756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694"/>
    <w:rsid w:val="0005423A"/>
    <w:rsid w:val="000C1194"/>
    <w:rsid w:val="001932DE"/>
    <w:rsid w:val="00197E26"/>
    <w:rsid w:val="001D28E0"/>
    <w:rsid w:val="001F149D"/>
    <w:rsid w:val="002B77BD"/>
    <w:rsid w:val="00342483"/>
    <w:rsid w:val="00361820"/>
    <w:rsid w:val="00370AD5"/>
    <w:rsid w:val="00377604"/>
    <w:rsid w:val="00383939"/>
    <w:rsid w:val="00587414"/>
    <w:rsid w:val="00682EC7"/>
    <w:rsid w:val="006C0B2B"/>
    <w:rsid w:val="006C1E60"/>
    <w:rsid w:val="006F0133"/>
    <w:rsid w:val="00756E36"/>
    <w:rsid w:val="00806F98"/>
    <w:rsid w:val="0086776E"/>
    <w:rsid w:val="008A0063"/>
    <w:rsid w:val="0091376E"/>
    <w:rsid w:val="00926128"/>
    <w:rsid w:val="00A92AA3"/>
    <w:rsid w:val="00AC54B5"/>
    <w:rsid w:val="00B07596"/>
    <w:rsid w:val="00B23BA7"/>
    <w:rsid w:val="00B3554B"/>
    <w:rsid w:val="00B44EEB"/>
    <w:rsid w:val="00D54533"/>
    <w:rsid w:val="00D55390"/>
    <w:rsid w:val="00DC1A7F"/>
    <w:rsid w:val="00DE05D6"/>
    <w:rsid w:val="00E44C8B"/>
    <w:rsid w:val="00E457F6"/>
    <w:rsid w:val="00E731B9"/>
    <w:rsid w:val="00ED5195"/>
    <w:rsid w:val="00F16F99"/>
    <w:rsid w:val="00F53467"/>
    <w:rsid w:val="00F64E14"/>
    <w:rsid w:val="00F70C35"/>
    <w:rsid w:val="00FC2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6A6D44-2296-4FE9-902D-E5221175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694"/>
  </w:style>
  <w:style w:type="paragraph" w:styleId="Footer">
    <w:name w:val="footer"/>
    <w:basedOn w:val="Normal"/>
    <w:link w:val="FooterChar"/>
    <w:uiPriority w:val="99"/>
    <w:unhideWhenUsed/>
    <w:rsid w:val="00FC2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7</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15</cp:revision>
  <dcterms:created xsi:type="dcterms:W3CDTF">2019-10-22T18:41:00Z</dcterms:created>
  <dcterms:modified xsi:type="dcterms:W3CDTF">2019-10-22T23:53:00Z</dcterms:modified>
</cp:coreProperties>
</file>